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225" w:rsidRDefault="00260225" w:rsidP="00260225">
      <w:r>
        <w:t>Belmont is an inclusive school with a resource provision for pupils with visual impairment or physical disabilities and has a high proportion of pupils who have a Special Educational Need (SEN).</w:t>
      </w:r>
    </w:p>
    <w:p w:rsidR="00260225" w:rsidRDefault="00260225" w:rsidP="00260225">
      <w:r>
        <w:rPr>
          <w:noProof/>
          <w:lang w:eastAsia="en-GB"/>
        </w:rPr>
        <w:drawing>
          <wp:inline distT="0" distB="0" distL="0" distR="0" wp14:anchorId="195AC5D3" wp14:editId="4A63E41A">
            <wp:extent cx="5486400" cy="3200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60225" w:rsidRDefault="00260225" w:rsidP="00260225">
      <w:r>
        <w:t xml:space="preserve">Non-SEN pupils at Belmont achieved significantly higher outcomes than the expected standard in all subjects at the end of KS2, than children did nationally in 2018. </w:t>
      </w:r>
    </w:p>
    <w:p w:rsidR="00260225" w:rsidRDefault="00260225" w:rsidP="00260225">
      <w:r>
        <w:rPr>
          <w:noProof/>
          <w:lang w:eastAsia="en-GB"/>
        </w:rPr>
        <w:drawing>
          <wp:inline distT="0" distB="0" distL="0" distR="0" wp14:anchorId="753298FA" wp14:editId="31239F5D">
            <wp:extent cx="5486400" cy="3200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F34F0" w:rsidRDefault="00260225">
      <w:r>
        <w:t xml:space="preserve">Non-SEN pupils achieving the higher standard/greater depth at Belmont achieved higher outcomes than the expected standard in </w:t>
      </w:r>
      <w:proofErr w:type="gramStart"/>
      <w:r>
        <w:t>reading,</w:t>
      </w:r>
      <w:proofErr w:type="gramEnd"/>
      <w:r>
        <w:t xml:space="preserve"> writing and maths combined (RMW) and Grammar, Punctuation and Spelling and were in line or higher in reading, writing or maths at the end of KS2, when compared to children nationally in 2018. </w:t>
      </w:r>
      <w:bookmarkStart w:id="0" w:name="_GoBack"/>
      <w:bookmarkEnd w:id="0"/>
    </w:p>
    <w:sectPr w:rsidR="003F3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25"/>
    <w:rsid w:val="00260225"/>
    <w:rsid w:val="007C1322"/>
    <w:rsid w:val="008B2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2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2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KS2 Non-SEN Pupils 2018</a:t>
            </a:r>
          </a:p>
        </c:rich>
      </c:tx>
      <c:layout>
        <c:manualLayout>
          <c:xMode val="edge"/>
          <c:yMode val="edge"/>
          <c:x val="0.27682287109944592"/>
          <c:y val="1.5873015873015872E-2"/>
        </c:manualLayout>
      </c:layout>
      <c:overlay val="0"/>
    </c:title>
    <c:autoTitleDeleted val="0"/>
    <c:plotArea>
      <c:layout/>
      <c:barChart>
        <c:barDir val="col"/>
        <c:grouping val="clustered"/>
        <c:varyColors val="0"/>
        <c:ser>
          <c:idx val="0"/>
          <c:order val="0"/>
          <c:tx>
            <c:strRef>
              <c:f>Sheet1!$B$1</c:f>
              <c:strCache>
                <c:ptCount val="1"/>
                <c:pt idx="0">
                  <c:v>Belmont</c:v>
                </c:pt>
              </c:strCache>
            </c:strRef>
          </c:tx>
          <c:invertIfNegative val="0"/>
          <c:cat>
            <c:strRef>
              <c:f>Sheet1!$A$2:$A$6</c:f>
              <c:strCache>
                <c:ptCount val="5"/>
                <c:pt idx="0">
                  <c:v>RWM</c:v>
                </c:pt>
                <c:pt idx="1">
                  <c:v>Reading</c:v>
                </c:pt>
                <c:pt idx="2">
                  <c:v>Writing</c:v>
                </c:pt>
                <c:pt idx="3">
                  <c:v>Maths</c:v>
                </c:pt>
                <c:pt idx="4">
                  <c:v>GPS</c:v>
                </c:pt>
              </c:strCache>
            </c:strRef>
          </c:cat>
          <c:val>
            <c:numRef>
              <c:f>Sheet1!$B$2:$B$6</c:f>
              <c:numCache>
                <c:formatCode>0%</c:formatCode>
                <c:ptCount val="5"/>
                <c:pt idx="0">
                  <c:v>0.79</c:v>
                </c:pt>
                <c:pt idx="1">
                  <c:v>0.83</c:v>
                </c:pt>
                <c:pt idx="2">
                  <c:v>0.91</c:v>
                </c:pt>
                <c:pt idx="3">
                  <c:v>0.87</c:v>
                </c:pt>
                <c:pt idx="4">
                  <c:v>0.87</c:v>
                </c:pt>
              </c:numCache>
            </c:numRef>
          </c:val>
        </c:ser>
        <c:ser>
          <c:idx val="1"/>
          <c:order val="1"/>
          <c:tx>
            <c:strRef>
              <c:f>Sheet1!$C$1</c:f>
              <c:strCache>
                <c:ptCount val="1"/>
                <c:pt idx="0">
                  <c:v>National</c:v>
                </c:pt>
              </c:strCache>
            </c:strRef>
          </c:tx>
          <c:spPr>
            <a:solidFill>
              <a:srgbClr val="FFC000"/>
            </a:solidFill>
          </c:spPr>
          <c:invertIfNegative val="0"/>
          <c:cat>
            <c:strRef>
              <c:f>Sheet1!$A$2:$A$6</c:f>
              <c:strCache>
                <c:ptCount val="5"/>
                <c:pt idx="0">
                  <c:v>RWM</c:v>
                </c:pt>
                <c:pt idx="1">
                  <c:v>Reading</c:v>
                </c:pt>
                <c:pt idx="2">
                  <c:v>Writing</c:v>
                </c:pt>
                <c:pt idx="3">
                  <c:v>Maths</c:v>
                </c:pt>
                <c:pt idx="4">
                  <c:v>GPS</c:v>
                </c:pt>
              </c:strCache>
            </c:strRef>
          </c:cat>
          <c:val>
            <c:numRef>
              <c:f>Sheet1!$C$2:$C$6</c:f>
              <c:numCache>
                <c:formatCode>0%</c:formatCode>
                <c:ptCount val="5"/>
                <c:pt idx="0">
                  <c:v>0.64</c:v>
                </c:pt>
                <c:pt idx="1">
                  <c:v>0.75</c:v>
                </c:pt>
                <c:pt idx="2">
                  <c:v>0.78</c:v>
                </c:pt>
                <c:pt idx="3">
                  <c:v>0.76</c:v>
                </c:pt>
                <c:pt idx="4">
                  <c:v>0.78</c:v>
                </c:pt>
              </c:numCache>
            </c:numRef>
          </c:val>
        </c:ser>
        <c:dLbls>
          <c:showLegendKey val="0"/>
          <c:showVal val="1"/>
          <c:showCatName val="0"/>
          <c:showSerName val="0"/>
          <c:showPercent val="0"/>
          <c:showBubbleSize val="0"/>
        </c:dLbls>
        <c:gapWidth val="150"/>
        <c:overlap val="-25"/>
        <c:axId val="118799360"/>
        <c:axId val="119001856"/>
      </c:barChart>
      <c:catAx>
        <c:axId val="118799360"/>
        <c:scaling>
          <c:orientation val="minMax"/>
        </c:scaling>
        <c:delete val="0"/>
        <c:axPos val="b"/>
        <c:majorTickMark val="none"/>
        <c:minorTickMark val="none"/>
        <c:tickLblPos val="nextTo"/>
        <c:crossAx val="119001856"/>
        <c:crosses val="autoZero"/>
        <c:auto val="1"/>
        <c:lblAlgn val="ctr"/>
        <c:lblOffset val="100"/>
        <c:noMultiLvlLbl val="0"/>
      </c:catAx>
      <c:valAx>
        <c:axId val="119001856"/>
        <c:scaling>
          <c:orientation val="minMax"/>
        </c:scaling>
        <c:delete val="1"/>
        <c:axPos val="l"/>
        <c:numFmt formatCode="0%" sourceLinked="1"/>
        <c:majorTickMark val="out"/>
        <c:minorTickMark val="none"/>
        <c:tickLblPos val="nextTo"/>
        <c:crossAx val="118799360"/>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KS2 Greater</a:t>
            </a:r>
            <a:r>
              <a:rPr lang="en-GB" baseline="0"/>
              <a:t> Depth </a:t>
            </a:r>
          </a:p>
          <a:p>
            <a:pPr>
              <a:defRPr/>
            </a:pPr>
            <a:r>
              <a:rPr lang="en-GB" baseline="0"/>
              <a:t>Non-SEN Pupils 2018</a:t>
            </a:r>
            <a:endParaRPr lang="en-GB"/>
          </a:p>
        </c:rich>
      </c:tx>
      <c:layout/>
      <c:overlay val="0"/>
    </c:title>
    <c:autoTitleDeleted val="0"/>
    <c:plotArea>
      <c:layout/>
      <c:barChart>
        <c:barDir val="col"/>
        <c:grouping val="clustered"/>
        <c:varyColors val="0"/>
        <c:ser>
          <c:idx val="0"/>
          <c:order val="0"/>
          <c:tx>
            <c:strRef>
              <c:f>Sheet1!$B$1</c:f>
              <c:strCache>
                <c:ptCount val="1"/>
                <c:pt idx="0">
                  <c:v>Belmont</c:v>
                </c:pt>
              </c:strCache>
            </c:strRef>
          </c:tx>
          <c:invertIfNegative val="0"/>
          <c:cat>
            <c:strRef>
              <c:f>Sheet1!$A$2:$A$6</c:f>
              <c:strCache>
                <c:ptCount val="5"/>
                <c:pt idx="0">
                  <c:v>RWM</c:v>
                </c:pt>
                <c:pt idx="1">
                  <c:v>Reading</c:v>
                </c:pt>
                <c:pt idx="2">
                  <c:v>Writing</c:v>
                </c:pt>
                <c:pt idx="3">
                  <c:v>Maths</c:v>
                </c:pt>
                <c:pt idx="4">
                  <c:v>GPS</c:v>
                </c:pt>
              </c:strCache>
            </c:strRef>
          </c:cat>
          <c:val>
            <c:numRef>
              <c:f>Sheet1!$B$2:$B$6</c:f>
              <c:numCache>
                <c:formatCode>0%</c:formatCode>
                <c:ptCount val="5"/>
                <c:pt idx="0">
                  <c:v>0.15</c:v>
                </c:pt>
                <c:pt idx="1">
                  <c:v>0.28000000000000003</c:v>
                </c:pt>
                <c:pt idx="2">
                  <c:v>0.21</c:v>
                </c:pt>
                <c:pt idx="3">
                  <c:v>0.23</c:v>
                </c:pt>
                <c:pt idx="4">
                  <c:v>0.4</c:v>
                </c:pt>
              </c:numCache>
            </c:numRef>
          </c:val>
        </c:ser>
        <c:ser>
          <c:idx val="1"/>
          <c:order val="1"/>
          <c:tx>
            <c:strRef>
              <c:f>Sheet1!$C$1</c:f>
              <c:strCache>
                <c:ptCount val="1"/>
                <c:pt idx="0">
                  <c:v>National</c:v>
                </c:pt>
              </c:strCache>
            </c:strRef>
          </c:tx>
          <c:spPr>
            <a:solidFill>
              <a:srgbClr val="FFC000"/>
            </a:solidFill>
          </c:spPr>
          <c:invertIfNegative val="0"/>
          <c:cat>
            <c:strRef>
              <c:f>Sheet1!$A$2:$A$6</c:f>
              <c:strCache>
                <c:ptCount val="5"/>
                <c:pt idx="0">
                  <c:v>RWM</c:v>
                </c:pt>
                <c:pt idx="1">
                  <c:v>Reading</c:v>
                </c:pt>
                <c:pt idx="2">
                  <c:v>Writing</c:v>
                </c:pt>
                <c:pt idx="3">
                  <c:v>Maths</c:v>
                </c:pt>
                <c:pt idx="4">
                  <c:v>GPS</c:v>
                </c:pt>
              </c:strCache>
            </c:strRef>
          </c:cat>
          <c:val>
            <c:numRef>
              <c:f>Sheet1!$C$2:$C$6</c:f>
              <c:numCache>
                <c:formatCode>0%</c:formatCode>
                <c:ptCount val="5"/>
                <c:pt idx="0">
                  <c:v>0.1</c:v>
                </c:pt>
                <c:pt idx="1">
                  <c:v>0.28000000000000003</c:v>
                </c:pt>
                <c:pt idx="2">
                  <c:v>0.2</c:v>
                </c:pt>
                <c:pt idx="3">
                  <c:v>0.24</c:v>
                </c:pt>
                <c:pt idx="4">
                  <c:v>0.34</c:v>
                </c:pt>
              </c:numCache>
            </c:numRef>
          </c:val>
        </c:ser>
        <c:dLbls>
          <c:showLegendKey val="0"/>
          <c:showVal val="1"/>
          <c:showCatName val="0"/>
          <c:showSerName val="0"/>
          <c:showPercent val="0"/>
          <c:showBubbleSize val="0"/>
        </c:dLbls>
        <c:gapWidth val="150"/>
        <c:overlap val="-25"/>
        <c:axId val="119432704"/>
        <c:axId val="119476608"/>
      </c:barChart>
      <c:catAx>
        <c:axId val="119432704"/>
        <c:scaling>
          <c:orientation val="minMax"/>
        </c:scaling>
        <c:delete val="0"/>
        <c:axPos val="b"/>
        <c:majorTickMark val="none"/>
        <c:minorTickMark val="none"/>
        <c:tickLblPos val="nextTo"/>
        <c:crossAx val="119476608"/>
        <c:crosses val="autoZero"/>
        <c:auto val="1"/>
        <c:lblAlgn val="ctr"/>
        <c:lblOffset val="100"/>
        <c:noMultiLvlLbl val="0"/>
      </c:catAx>
      <c:valAx>
        <c:axId val="119476608"/>
        <c:scaling>
          <c:orientation val="minMax"/>
        </c:scaling>
        <c:delete val="1"/>
        <c:axPos val="l"/>
        <c:numFmt formatCode="0%" sourceLinked="1"/>
        <c:majorTickMark val="out"/>
        <c:minorTickMark val="none"/>
        <c:tickLblPos val="nextTo"/>
        <c:crossAx val="119432704"/>
        <c:crosses val="autoZero"/>
        <c:crossBetween val="between"/>
      </c:valAx>
    </c:plotArea>
    <c:legend>
      <c:legendPos val="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Gibson</dc:creator>
  <cp:lastModifiedBy>Graham Gibson</cp:lastModifiedBy>
  <cp:revision>1</cp:revision>
  <dcterms:created xsi:type="dcterms:W3CDTF">2018-10-15T13:50:00Z</dcterms:created>
  <dcterms:modified xsi:type="dcterms:W3CDTF">2018-10-15T13:51:00Z</dcterms:modified>
</cp:coreProperties>
</file>